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50684" w14:textId="16277469" w:rsidR="00A42279" w:rsidRDefault="00294966">
      <w:hyperlink r:id="rId4" w:history="1">
        <w:r>
          <w:rPr>
            <w:rStyle w:val="Hyperlink"/>
          </w:rPr>
          <w:t>https://www.cotasa.org.au/programs/postcards-behind-covid-curtain.aspx</w:t>
        </w:r>
      </w:hyperlink>
    </w:p>
    <w:p w14:paraId="02A99D4A" w14:textId="2422C881" w:rsidR="00294966" w:rsidRDefault="00294966">
      <w:r w:rsidRPr="00294966">
        <w:drawing>
          <wp:inline distT="0" distB="0" distL="0" distR="0" wp14:anchorId="6572CC6F" wp14:editId="2BE4CFD0">
            <wp:extent cx="5731510" cy="61556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5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9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66"/>
    <w:rsid w:val="00294966"/>
    <w:rsid w:val="00A4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2038F"/>
  <w15:chartTrackingRefBased/>
  <w15:docId w15:val="{0EB6C85C-F01C-40F1-8052-87183C43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49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otasa.org.au/programs/postcards-behind-covid-curtai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2020-05-18T08:31:00Z</dcterms:created>
  <dcterms:modified xsi:type="dcterms:W3CDTF">2020-05-18T08:32:00Z</dcterms:modified>
</cp:coreProperties>
</file>